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hd w:fill="ffffff" w:val="clear"/>
        <w:spacing w:after="180" w:before="18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2d3b45"/>
          <w:sz w:val="24"/>
          <w:szCs w:val="24"/>
          <w:rtl w:val="0"/>
        </w:rPr>
        <w:t xml:space="preserve">Question #3</w:t>
      </w: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0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Students for Fair Admissions v Harvard case decision in the summer of 2023 has irrevocably altered the landscape of diversity in higher educati</w:t>
      </w:r>
      <w:r w:rsidDel="00000000" w:rsidR="00000000" w:rsidRPr="00000000">
        <w:rPr>
          <w:rFonts w:ascii="Times New Roman" w:cs="Times New Roman" w:eastAsia="Times New Roman" w:hAnsi="Times New Roman"/>
          <w:sz w:val="24"/>
          <w:szCs w:val="24"/>
          <w:rtl w:val="0"/>
        </w:rPr>
        <w:t xml:space="preserve">on. </w:t>
      </w:r>
      <w:r w:rsidDel="00000000" w:rsidR="00000000" w:rsidRPr="00000000">
        <w:rPr>
          <w:rFonts w:ascii="Times New Roman" w:cs="Times New Roman" w:eastAsia="Times New Roman" w:hAnsi="Times New Roman"/>
          <w:sz w:val="24"/>
          <w:szCs w:val="24"/>
          <w:rtl w:val="0"/>
        </w:rPr>
        <w:t xml:space="preserve">For people of color in the United States, higher education institutions provide a series of hurdles and barriers to success academically, financially, intellectually, and socially. While this decision affects admissions, that is only a tiny portion of the difficulties and setbacks people of color face in higher education. Racial diversity can and should permeate every aspect of higher education, and now, more than ever, it is essential for student affairs professionals to further this cause. </w:t>
      </w:r>
      <w:r w:rsidDel="00000000" w:rsidR="00000000" w:rsidRPr="00000000">
        <w:rPr>
          <w:rFonts w:ascii="Times New Roman" w:cs="Times New Roman" w:eastAsia="Times New Roman" w:hAnsi="Times New Roman"/>
          <w:sz w:val="24"/>
          <w:szCs w:val="24"/>
          <w:rtl w:val="0"/>
        </w:rPr>
        <w:t xml:space="preserve">This paper will outline the history of diversity in higher education, demonstrate the importance of racial diversity in higher education, and propose ways institutions can further their interests in student diversity after the SFA v. Harvard decision. </w:t>
      </w:r>
    </w:p>
    <w:p w:rsidR="00000000" w:rsidDel="00000000" w:rsidP="00000000" w:rsidRDefault="00000000" w:rsidRPr="00000000" w14:paraId="00000004">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History of Race and Admissions</w:t>
      </w:r>
    </w:p>
    <w:p w:rsidR="00000000" w:rsidDel="00000000" w:rsidP="00000000" w:rsidRDefault="00000000" w:rsidRPr="00000000" w14:paraId="00000005">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Before addressing how institutions may proceed following the Students for Fair Admissions v. Harvard ruling, it is vital to outline the history of race and admissions in the United States. At the inception of higher education as we know it, there was no vested interest in the diversity of the student population. At the time of Harvard’s establishment in 1636, higher education was restricted to wealthy white men aspiring to be better clergymen, politicians, and other esteemed roles of the time (Thelin, 2019). In 1890, there was a federal legislative push for Black students to be allowed to attend higher education institutions with the introduction of the second Morrill Act. This act compelled states with land-grant funding to either build separate institutions for Black students or to prove that race was not a factor in admissions, meaning Black students were not excluded from existing land-grant colleges </w:t>
      </w:r>
      <w:r w:rsidDel="00000000" w:rsidR="00000000" w:rsidRPr="00000000">
        <w:rPr>
          <w:rFonts w:ascii="Times New Roman" w:cs="Times New Roman" w:eastAsia="Times New Roman" w:hAnsi="Times New Roman"/>
          <w:sz w:val="24"/>
          <w:szCs w:val="24"/>
          <w:rtl w:val="0"/>
        </w:rPr>
        <w:t xml:space="preserve">(Weerts &amp; Conrad, 2004)</w:t>
      </w:r>
      <w:r w:rsidDel="00000000" w:rsidR="00000000" w:rsidRPr="00000000">
        <w:rPr>
          <w:rFonts w:ascii="Times New Roman" w:cs="Times New Roman" w:eastAsia="Times New Roman" w:hAnsi="Times New Roman"/>
          <w:color w:val="0e101a"/>
          <w:sz w:val="24"/>
          <w:szCs w:val="24"/>
          <w:rtl w:val="0"/>
        </w:rPr>
        <w:t xml:space="preserve">. This is the first federal acknowledgment of some form of race-based action in the admissions process. Jumping forward to 1944, post-World War II, The Servicemen’s Adjustment Act of 1944, colloquially known as the G.I. Bill, sponsored a huge jump in enrollment for veterans, specifically helping low-income men enter college. While beneficial, this bill was limited in how it assisted BIPOC veterans, as they were limited in the universities they could enroll in (Bowen et al., 2006). This, in turn, “exacerbate[d] rather than narrow[ed] the economic and educational differences between Black and white [people],” yet still expanded access for people of color who served (Bowen et al., 2006,  p. 33).</w:t>
      </w:r>
    </w:p>
    <w:p w:rsidR="00000000" w:rsidDel="00000000" w:rsidP="00000000" w:rsidRDefault="00000000" w:rsidRPr="00000000" w14:paraId="00000006">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 1964 Civil Rights Act made it illegal for any federally assisted program to discriminate on the basis of race. This led to many schools implementing affirmative action for staff and faculty and diversifying their campuses (Winkle-Wagner &amp; Locks, 2019). On the admissions side of things, in 1978, r</w:t>
      </w:r>
      <w:r w:rsidDel="00000000" w:rsidR="00000000" w:rsidRPr="00000000">
        <w:rPr>
          <w:rFonts w:ascii="Times New Roman" w:cs="Times New Roman" w:eastAsia="Times New Roman" w:hAnsi="Times New Roman"/>
          <w:color w:val="0e101a"/>
          <w:sz w:val="24"/>
          <w:szCs w:val="24"/>
          <w:rtl w:val="0"/>
        </w:rPr>
        <w:t xml:space="preserve">ace quotas were pronounced illegal in the Regents of the University of California v. Bakke case ruling. However, Justice Powell upheld the consideration of race as a positive in admissions (Blanchard &amp; Baez, 2016).</w:t>
      </w:r>
      <w:r w:rsidDel="00000000" w:rsidR="00000000" w:rsidRPr="00000000">
        <w:rPr>
          <w:rFonts w:ascii="Times New Roman" w:cs="Times New Roman" w:eastAsia="Times New Roman" w:hAnsi="Times New Roman"/>
          <w:color w:val="0e101a"/>
          <w:sz w:val="24"/>
          <w:szCs w:val="24"/>
          <w:rtl w:val="0"/>
        </w:rPr>
        <w:t xml:space="preserve"> With hallmark cases like Grutter v. Bollinger and Grutz v. Bollinger, this decision was upheld and has since dictated college admissions in the United States until 2023 </w:t>
      </w:r>
      <w:r w:rsidDel="00000000" w:rsidR="00000000" w:rsidRPr="00000000">
        <w:rPr>
          <w:rFonts w:ascii="Times New Roman" w:cs="Times New Roman" w:eastAsia="Times New Roman" w:hAnsi="Times New Roman"/>
          <w:color w:val="0e101a"/>
          <w:sz w:val="24"/>
          <w:szCs w:val="24"/>
          <w:rtl w:val="0"/>
        </w:rPr>
        <w:t xml:space="preserve">(Blanchard &amp; Baez, 2016)</w:t>
      </w:r>
      <w:r w:rsidDel="00000000" w:rsidR="00000000" w:rsidRPr="00000000">
        <w:rPr>
          <w:rFonts w:ascii="Times New Roman" w:cs="Times New Roman" w:eastAsia="Times New Roman" w:hAnsi="Times New Roman"/>
          <w:color w:val="0e101a"/>
          <w:sz w:val="24"/>
          <w:szCs w:val="24"/>
          <w:rtl w:val="0"/>
        </w:rPr>
        <w:t xml:space="preserve">. </w:t>
      </w:r>
    </w:p>
    <w:p w:rsidR="00000000" w:rsidDel="00000000" w:rsidP="00000000" w:rsidRDefault="00000000" w:rsidRPr="00000000" w14:paraId="00000007">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An important thing to note is that this action did nothing to ensure that higher education institutions consider race as a factor to prioritize diverse student populations; it just legally protected the rights of institutions to use it as a factor in a vast portfolio of tools to evaluate prospective students. </w:t>
      </w:r>
      <w:r w:rsidDel="00000000" w:rsidR="00000000" w:rsidRPr="00000000">
        <w:rPr>
          <w:rFonts w:ascii="Times New Roman" w:cs="Times New Roman" w:eastAsia="Times New Roman" w:hAnsi="Times New Roman"/>
          <w:color w:val="0e101a"/>
          <w:sz w:val="24"/>
          <w:szCs w:val="24"/>
          <w:rtl w:val="0"/>
        </w:rPr>
        <w:t xml:space="preserve">Individual states and institutions have since made their own considerations about race as a factor in admissions</w:t>
      </w:r>
      <w:r w:rsidDel="00000000" w:rsidR="00000000" w:rsidRPr="00000000">
        <w:rPr>
          <w:rFonts w:ascii="Times New Roman" w:cs="Times New Roman" w:eastAsia="Times New Roman" w:hAnsi="Times New Roman"/>
          <w:color w:val="0e101a"/>
          <w:sz w:val="24"/>
          <w:szCs w:val="24"/>
          <w:rtl w:val="0"/>
        </w:rPr>
        <w:t xml:space="preserve">. </w:t>
      </w:r>
    </w:p>
    <w:p w:rsidR="00000000" w:rsidDel="00000000" w:rsidP="00000000" w:rsidRDefault="00000000" w:rsidRPr="00000000" w14:paraId="0000000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e101a"/>
          <w:sz w:val="24"/>
          <w:szCs w:val="24"/>
          <w:rtl w:val="0"/>
        </w:rPr>
        <w:t xml:space="preserve">In 2023, the Students for Fair Admissions v. Harvard case determined that using</w:t>
      </w:r>
      <w:r w:rsidDel="00000000" w:rsidR="00000000" w:rsidRPr="00000000">
        <w:rPr>
          <w:rFonts w:ascii="Times New Roman" w:cs="Times New Roman" w:eastAsia="Times New Roman" w:hAnsi="Times New Roman"/>
          <w:sz w:val="24"/>
          <w:szCs w:val="24"/>
          <w:rtl w:val="0"/>
        </w:rPr>
        <w:t xml:space="preserve"> race in college admissions is unconstitutional. This decision, which impacted institutions immediately, struck down affirmative action and required prompt change from institutions nationwide that used race as a factor in the admissions process. Despite increased diversity over the years, </w:t>
      </w:r>
      <w:r w:rsidDel="00000000" w:rsidR="00000000" w:rsidRPr="00000000">
        <w:rPr>
          <w:rFonts w:ascii="Times New Roman" w:cs="Times New Roman" w:eastAsia="Times New Roman" w:hAnsi="Times New Roman"/>
          <w:sz w:val="24"/>
          <w:szCs w:val="24"/>
          <w:rtl w:val="0"/>
        </w:rPr>
        <w:t xml:space="preserve">“white students are increasingly concentrated in the nation’s 468 most well-funded and selective four-year colleges,” demonstrating that although affirmative action was associated positively with increasing diversity, it was not necessarily the only tool required to form diverse environments (Shudde &amp; Goldrick-Rab, 2006, p.346). This gives hope that campuses can continue progressing even with this new court decision. </w:t>
      </w:r>
    </w:p>
    <w:p w:rsidR="00000000" w:rsidDel="00000000" w:rsidP="00000000" w:rsidRDefault="00000000" w:rsidRPr="00000000" w14:paraId="00000009">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Diversity Imperative</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One of the many tensions at the heart of the debate over affirmative action is the issue of </w:t>
      </w:r>
      <w:r w:rsidDel="00000000" w:rsidR="00000000" w:rsidRPr="00000000">
        <w:rPr>
          <w:rFonts w:ascii="Times New Roman" w:cs="Times New Roman" w:eastAsia="Times New Roman" w:hAnsi="Times New Roman"/>
          <w:sz w:val="24"/>
          <w:szCs w:val="24"/>
          <w:rtl w:val="0"/>
        </w:rPr>
        <w:t xml:space="preserve">why diversity is important to higher education environments and the various stakeholders involved. Although it seems plain that all students, regardless of race, deserve an education, there is a larger public debate about the merits of diversity in higher education for all students. Race being considered a plus was established to combat systemic racism and encourage diversity to be considered in incoming classes. I</w:t>
      </w:r>
      <w:r w:rsidDel="00000000" w:rsidR="00000000" w:rsidRPr="00000000">
        <w:rPr>
          <w:rFonts w:ascii="Times New Roman" w:cs="Times New Roman" w:eastAsia="Times New Roman" w:hAnsi="Times New Roman"/>
          <w:sz w:val="24"/>
          <w:szCs w:val="24"/>
          <w:rtl w:val="0"/>
        </w:rPr>
        <w:t xml:space="preserve">f we view higher education as a public good, all people should benefit from this public good and the opportunity that higher education provides students. Society is diverse, and higher education aims to prepare students for the world and, therefore, “prepare all students for a diverse society” (Turner et al., 2010, p.41). </w:t>
      </w:r>
    </w:p>
    <w:p w:rsidR="00000000" w:rsidDel="00000000" w:rsidP="00000000" w:rsidRDefault="00000000" w:rsidRPr="00000000" w14:paraId="0000000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Piaget’s theory of intellectual and moral development, he describes “perspective-taking,” which is the development of the ability to step into someone else’s shoes and understand their ideas and feelings, which helps children and adolescents move to a further stage of moral reasoning when interacting with others (Gurin, 2002, p. 9). Kohlberg’s work furthered these thoughts, citing disequilibrium as a factor in moral development. Disequilibrium is when “individuals are faced with situations arousing internal contradictions in their moral reasoning structure” (Patton et al., 2016, p. 339). This concept is more challenging to execute when a student has lived in a homogenous place without exposure to others from different cultures and backgrounds. Engaging with those with different ideas, feelings, and backgrounds is essential in the moral development of students. A study based on these ideas of moral reasoning found that “diversity courses in which students encountered ideas that challenged their current ways of moral reasoning promoted development” (Patton et al., 2016, p. 339).</w:t>
      </w:r>
    </w:p>
    <w:p w:rsidR="00000000" w:rsidDel="00000000" w:rsidP="00000000" w:rsidRDefault="00000000" w:rsidRPr="00000000" w14:paraId="0000000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national study, “informal interactional diversity was especially influential in accounting for higher levels of intellectual engagement and self-assessed academic skills” in White, Black, Latino, and Asian-American students (Gurin, 2002, p.19). This study also demonstrated that diversity experiences helped students develop skills to participate in and lead a diverse democracy. Not only is diversity beneficial to individual student’s development, but it is also beneficial for the campus community and society. Yosso describes community cultural wealth, emphasizing “the array of cultural knowledge, skills, abilities, and contacts possessed by socially marginalized groups that often go unrecognized and unacknowledged” (2005). Students of color bring value in their experiences, ways of knowing, forming relationships, and how they navigate the world, especially to predominantly white institutions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D">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Moving Forward in the New Legal Landscape</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reason students of color, first-generation students, and low-income students have such an overlap is due to the systemic racism baked into the history of the United States. The establishment of most higher education institutions was shaped by and, in turn, shaped the country's racial climate as it progressed. As the future of higher education, it is the job of current student affairs professionals to rebuild and restructure our education systems to remedy that disparity and higher education’s historical influence. Institutions looking to advance their interests in a racially diverse student population must evaluate their admissions staff, target first-generation students, and create a positive environment for students of color to thrive on campus. </w:t>
      </w:r>
    </w:p>
    <w:p w:rsidR="00000000" w:rsidDel="00000000" w:rsidP="00000000" w:rsidRDefault="00000000" w:rsidRPr="00000000" w14:paraId="0000000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Institutions must ensure that their admissions staff is committed to DEI practices, well-versed in anti-racism practices and implicit biases, and culturally well-rounded and informed. This change in the admissions process </w:t>
      </w:r>
      <w:r w:rsidDel="00000000" w:rsidR="00000000" w:rsidRPr="00000000">
        <w:rPr>
          <w:rFonts w:ascii="Times New Roman" w:cs="Times New Roman" w:eastAsia="Times New Roman" w:hAnsi="Times New Roman"/>
          <w:sz w:val="24"/>
          <w:szCs w:val="24"/>
          <w:rtl w:val="0"/>
        </w:rPr>
        <w:t xml:space="preserve">for many institutions is a prime occasion to evaluate admissions practices and ensure that admissions officers and recruiters are culturally conscious and educated. </w:t>
      </w:r>
      <w:r w:rsidDel="00000000" w:rsidR="00000000" w:rsidRPr="00000000">
        <w:rPr>
          <w:rFonts w:ascii="Times New Roman" w:cs="Times New Roman" w:eastAsia="Times New Roman" w:hAnsi="Times New Roman"/>
          <w:sz w:val="24"/>
          <w:szCs w:val="24"/>
          <w:rtl w:val="0"/>
        </w:rPr>
        <w:t xml:space="preserve">Now that race may not be considered, it is more important than ever to evaluate what admissions officers are looking for and to ensure it is not tinged by implicit biases that may diminish efforts to recruit a diverse population. It will be fruitful to ensure the department and divisional culture includes evaluation and education about implicit biases and the effects of systemic racism in higher education and specifically admissions practices (National Association for College Admission Counseling [NACAC] and the National Association of Student Financial Aid Administrators [NASFAA], 2022). Institutions </w:t>
      </w:r>
      <w:r w:rsidDel="00000000" w:rsidR="00000000" w:rsidRPr="00000000">
        <w:rPr>
          <w:rFonts w:ascii="Times New Roman" w:cs="Times New Roman" w:eastAsia="Times New Roman" w:hAnsi="Times New Roman"/>
          <w:sz w:val="24"/>
          <w:szCs w:val="24"/>
          <w:rtl w:val="0"/>
        </w:rPr>
        <w:t xml:space="preserve">also need to ensure that their recruitment efforts span a variety of communities that mimic the desired racial diversity of the institution. </w:t>
      </w:r>
      <w:r w:rsidDel="00000000" w:rsidR="00000000" w:rsidRPr="00000000">
        <w:rPr>
          <w:rFonts w:ascii="Times New Roman" w:cs="Times New Roman" w:eastAsia="Times New Roman" w:hAnsi="Times New Roman"/>
          <w:sz w:val="24"/>
          <w:szCs w:val="24"/>
          <w:rtl w:val="0"/>
        </w:rPr>
        <w:t xml:space="preserve">Their communications and outreach should also be tailored to the needs of diverse communities. A way to bolster this, rooted in student experience, would be to hold conversations with current students of color to evaluate and assess recruitment practices (NACAC &amp; NASFAA, 2022). The racial composition of admissions staff should also appropriately reflect the population to further diversity efforts (NACAC &amp; NASFAA, 2022).</w:t>
      </w:r>
    </w:p>
    <w:p w:rsidR="00000000" w:rsidDel="00000000" w:rsidP="00000000" w:rsidRDefault="00000000" w:rsidRPr="00000000" w14:paraId="0000001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Institutions must also get creative in finding other ways to diversify their incoming students. A beneficial way to do this is to identify ways to target access for first-generation students. First-generation college students are a majority students of racial minorities in the United States (Koo et. al., 2022). According to Koo et al., these students are also more likely to come from lower-income households than non-first-generation students (2022). </w:t>
      </w:r>
      <w:r w:rsidDel="00000000" w:rsidR="00000000" w:rsidRPr="00000000">
        <w:rPr>
          <w:rFonts w:ascii="Times New Roman" w:cs="Times New Roman" w:eastAsia="Times New Roman" w:hAnsi="Times New Roman"/>
          <w:sz w:val="24"/>
          <w:szCs w:val="24"/>
          <w:rtl w:val="0"/>
        </w:rPr>
        <w:t xml:space="preserve">Movin</w:t>
      </w:r>
      <w:r w:rsidDel="00000000" w:rsidR="00000000" w:rsidRPr="00000000">
        <w:rPr>
          <w:rFonts w:ascii="Times New Roman" w:cs="Times New Roman" w:eastAsia="Times New Roman" w:hAnsi="Times New Roman"/>
          <w:sz w:val="24"/>
          <w:szCs w:val="24"/>
          <w:rtl w:val="0"/>
        </w:rPr>
        <w:t xml:space="preserve">g to improve upon admission rates of first-generation students would, by proxy, be moving towards both a more racially diverse population and a socioeconomically diverse population. One simple way to do this is to remove or diminish the barrier caused by paying to apply to institutions. According to NACAC and NASFAA, application fees are a barrier specifically for students of color “as families of color comprise a larger share of low-income families in the US relative to other racial groups” (2022, p. 22). Once admitted, other resources for first-generation students include summer bridge programs, staff dedicated explicitly to first-generation students, and fostering connections with other first-generation peers and alumni. This is a recommended practice, as it improves access for a wealth of students and furthers the diversity of applicants without race considerations. </w:t>
      </w:r>
    </w:p>
    <w:p w:rsidR="00000000" w:rsidDel="00000000" w:rsidP="00000000" w:rsidRDefault="00000000" w:rsidRPr="00000000" w14:paraId="0000001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said, access alone does not promote the desire for a diverse population to matriculate into an institution. Efforts to continue to diversify must come with a campus culture and climate focused on being inclusive, safe, and welcoming to all students. </w:t>
      </w:r>
    </w:p>
    <w:p w:rsidR="00000000" w:rsidDel="00000000" w:rsidP="00000000" w:rsidRDefault="00000000" w:rsidRPr="00000000" w14:paraId="0000001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order to foster a positive environment for racially diverse students, institutions must focus on assessing and moving to change their campus racial climate. Campus racial climate is defined by the current “attitudes, perceptions, and expectations within an institutional community about issues of race, ethnicity, and diversity” (Museus et al., 2020,  p. 19). </w:t>
      </w:r>
      <w:r w:rsidDel="00000000" w:rsidR="00000000" w:rsidRPr="00000000">
        <w:rPr>
          <w:rFonts w:ascii="Times New Roman" w:cs="Times New Roman" w:eastAsia="Times New Roman" w:hAnsi="Times New Roman"/>
          <w:sz w:val="24"/>
          <w:szCs w:val="24"/>
          <w:rtl w:val="0"/>
        </w:rPr>
        <w:t xml:space="preserve">It is influenced by an institution’s history of inclusion or exclusion, the racial diversity of students, faculty, and staff, individual perceptions of race and difference, the quality of the relationships between those different than oneself on campus, and organizational and structural diversity (Museus et al., 2020, p.19). </w:t>
      </w:r>
      <w:r w:rsidDel="00000000" w:rsidR="00000000" w:rsidRPr="00000000">
        <w:rPr>
          <w:rFonts w:ascii="Times New Roman" w:cs="Times New Roman" w:eastAsia="Times New Roman" w:hAnsi="Times New Roman"/>
          <w:sz w:val="24"/>
          <w:szCs w:val="24"/>
          <w:rtl w:val="0"/>
        </w:rPr>
        <w:t xml:space="preserve">While institutions may be unable to change their history of inclusion or exclusion, they can emphasize learning from and growing beyond their history. These ways include programming and action that aim to diversify conversation on campus and efforts to diversify staff and faculty and can improve the overall racial climate. This also includes having appropriate and culturally well-rounded crisis response for communities of color. </w:t>
      </w:r>
      <w:r w:rsidDel="00000000" w:rsidR="00000000" w:rsidRPr="00000000">
        <w:rPr>
          <w:rFonts w:ascii="Times New Roman" w:cs="Times New Roman" w:eastAsia="Times New Roman" w:hAnsi="Times New Roman"/>
          <w:sz w:val="24"/>
          <w:szCs w:val="24"/>
          <w:rtl w:val="0"/>
        </w:rPr>
        <w:t xml:space="preserve">Campuses can also work to build cultural relevance for diverse students by generating campus spaces and affinity groups that encompass and engage students, faculty, and staff to provide a welcoming environment and shared experiences, ensuring that the campus provides opportunities for learning about diversity and students’ cultural communities and listening and facilitating conversations around cultural differences. </w:t>
      </w:r>
      <w:r w:rsidDel="00000000" w:rsidR="00000000" w:rsidRPr="00000000">
        <w:rPr>
          <w:rtl w:val="0"/>
        </w:rPr>
      </w:r>
    </w:p>
    <w:p w:rsidR="00000000" w:rsidDel="00000000" w:rsidP="00000000" w:rsidRDefault="00000000" w:rsidRPr="00000000" w14:paraId="0000001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component is cultural responsiveness, which is the envelopment of differing needs and ways of being into campus life (Museus et. al., 2020). This includes focusing on shared rather than individual success, giving student opportunities to connect with faculty and staff who care about their success, and increasing holistic support from faculty and staff (Museus et al., 2020). As part of this, it must be considered that support for students of color often falls heavily on faculty and staff of color. “Black professors (and other professors of color) tend to incorporate racial uplift in their work,” and when they are few and far between on campus, this responsibility can be overwhelming, especially if it is only part of the work they are hired to do (Griffin &amp; Reddick, 2011, p. 1032). </w:t>
      </w:r>
    </w:p>
    <w:p w:rsidR="00000000" w:rsidDel="00000000" w:rsidP="00000000" w:rsidRDefault="00000000" w:rsidRPr="00000000" w14:paraId="0000001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Campus spaces like multicultural centers further cultural familiarity and a welcoming environment on campus. Choices to provide spaces for students of color, such as specific cultural centers, can help facilitate joy for people of color (Tichavakunda, 2021). Universities need to respond not just to the anger and fear of people of color but to interact with their joy and celebrations and to break down existing white supremacy structures, such as harsh policing of spaces with large groups of students of color (Tichavakunda, 2021). Overall, presenting a safe, welcoming environme</w:t>
      </w:r>
      <w:r w:rsidDel="00000000" w:rsidR="00000000" w:rsidRPr="00000000">
        <w:rPr>
          <w:rFonts w:ascii="Times New Roman" w:cs="Times New Roman" w:eastAsia="Times New Roman" w:hAnsi="Times New Roman"/>
          <w:sz w:val="24"/>
          <w:szCs w:val="24"/>
          <w:rtl w:val="0"/>
        </w:rPr>
        <w:t xml:space="preserve">nt for students of color </w:t>
      </w:r>
      <w:r w:rsidDel="00000000" w:rsidR="00000000" w:rsidRPr="00000000">
        <w:rPr>
          <w:rFonts w:ascii="Times New Roman" w:cs="Times New Roman" w:eastAsia="Times New Roman" w:hAnsi="Times New Roman"/>
          <w:sz w:val="24"/>
          <w:szCs w:val="24"/>
          <w:rtl w:val="0"/>
        </w:rPr>
        <w:t xml:space="preserve">creates a compelling reason for students of color to desire to apply and stay at institutions of higher learning. </w:t>
      </w:r>
    </w:p>
    <w:p w:rsidR="00000000" w:rsidDel="00000000" w:rsidP="00000000" w:rsidRDefault="00000000" w:rsidRPr="00000000" w14:paraId="00000015">
      <w:pPr>
        <w:spacing w:line="48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Though race may not be considered in admissions processes anymore, there is still action to be taken to ensure continued diversity among students. Higher education in the United States has been a tumultuous road for students of color, and they will continue to rely upon those in power to make institutional changes to foster safe and nurturing environments for all students. Diversity in student populations benefits all students and supports higher education as a public good. The best course of action for institutions is to emphasize first-generation students in admissions, improve diversity and education in the admissions office, and invest in support for diversity in all areas of existing campus life.</w:t>
      </w:r>
    </w:p>
    <w:p w:rsidR="00000000" w:rsidDel="00000000" w:rsidP="00000000" w:rsidRDefault="00000000" w:rsidRPr="00000000" w14:paraId="00000017">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spacing w:line="48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Word Count: </w:t>
      </w:r>
      <w:r w:rsidDel="00000000" w:rsidR="00000000" w:rsidRPr="00000000">
        <w:rPr>
          <w:rFonts w:ascii="Times New Roman" w:cs="Times New Roman" w:eastAsia="Times New Roman" w:hAnsi="Times New Roman"/>
          <w:sz w:val="24"/>
          <w:szCs w:val="24"/>
          <w:rtl w:val="0"/>
        </w:rPr>
        <w:t xml:space="preserve">2,274</w:t>
      </w:r>
    </w:p>
    <w:p w:rsidR="00000000" w:rsidDel="00000000" w:rsidP="00000000" w:rsidRDefault="00000000" w:rsidRPr="00000000" w14:paraId="0000002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2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Blanchard, J., &amp; Baez, B. (2016). The Legal Environment: The Implementation of Legal Change </w:t>
      </w:r>
    </w:p>
    <w:p w:rsidR="00000000" w:rsidDel="00000000" w:rsidP="00000000" w:rsidRDefault="00000000" w:rsidRPr="00000000" w14:paraId="00000024">
      <w:pPr>
        <w:spacing w:line="480" w:lineRule="auto"/>
        <w:ind w:firstLine="72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on Campus. In M. N. Bastedo, P. G. Altbach, &amp; P. Gumport (Eds.), </w:t>
      </w:r>
      <w:r w:rsidDel="00000000" w:rsidR="00000000" w:rsidRPr="00000000">
        <w:rPr>
          <w:rFonts w:ascii="Times New Roman" w:cs="Times New Roman" w:eastAsia="Times New Roman" w:hAnsi="Times New Roman"/>
          <w:i w:val="1"/>
          <w:sz w:val="24"/>
          <w:szCs w:val="24"/>
          <w:rtl w:val="0"/>
        </w:rPr>
        <w:t xml:space="preserve">American higher </w:t>
      </w:r>
    </w:p>
    <w:p w:rsidR="00000000" w:rsidDel="00000000" w:rsidP="00000000" w:rsidRDefault="00000000" w:rsidRPr="00000000" w14:paraId="00000025">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education in the 21st century: Social, political and economic challenges </w:t>
      </w:r>
      <w:r w:rsidDel="00000000" w:rsidR="00000000" w:rsidRPr="00000000">
        <w:rPr>
          <w:rFonts w:ascii="Times New Roman" w:cs="Times New Roman" w:eastAsia="Times New Roman" w:hAnsi="Times New Roman"/>
          <w:sz w:val="24"/>
          <w:szCs w:val="24"/>
          <w:rtl w:val="0"/>
        </w:rPr>
        <w:t xml:space="preserve">(4th ed., pp. </w:t>
      </w:r>
    </w:p>
    <w:p w:rsidR="00000000" w:rsidDel="00000000" w:rsidP="00000000" w:rsidRDefault="00000000" w:rsidRPr="00000000" w14:paraId="00000026">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281-309). Johns Hopkins University Press.</w:t>
      </w:r>
    </w:p>
    <w:p w:rsidR="00000000" w:rsidDel="00000000" w:rsidP="00000000" w:rsidRDefault="00000000" w:rsidRPr="00000000" w14:paraId="00000027">
      <w:pPr>
        <w:spacing w:line="480" w:lineRule="auto"/>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Bowen, W.G., Kurzweil, M.A., Tobin, E. M., &amp; Pichler, S.C. (Eds.). (2006). </w:t>
      </w:r>
      <w:r w:rsidDel="00000000" w:rsidR="00000000" w:rsidRPr="00000000">
        <w:rPr>
          <w:rFonts w:ascii="Times New Roman" w:cs="Times New Roman" w:eastAsia="Times New Roman" w:hAnsi="Times New Roman"/>
          <w:i w:val="1"/>
          <w:sz w:val="24"/>
          <w:szCs w:val="24"/>
          <w:highlight w:val="white"/>
          <w:rtl w:val="0"/>
        </w:rPr>
        <w:t xml:space="preserve">Equity and </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Excellence in American Higher Education. </w:t>
      </w:r>
      <w:r w:rsidDel="00000000" w:rsidR="00000000" w:rsidRPr="00000000">
        <w:rPr>
          <w:rFonts w:ascii="Times New Roman" w:cs="Times New Roman" w:eastAsia="Times New Roman" w:hAnsi="Times New Roman"/>
          <w:sz w:val="24"/>
          <w:szCs w:val="24"/>
          <w:highlight w:val="white"/>
          <w:rtl w:val="0"/>
        </w:rPr>
        <w:t xml:space="preserve">University of Virginia Press.</w:t>
      </w:r>
    </w:p>
    <w:p w:rsidR="00000000" w:rsidDel="00000000" w:rsidP="00000000" w:rsidRDefault="00000000" w:rsidRPr="00000000" w14:paraId="00000029">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Bray, S. (2020, November 6). First-generation students often view their identities as a source of </w:t>
      </w:r>
    </w:p>
    <w:p w:rsidR="00000000" w:rsidDel="00000000" w:rsidP="00000000" w:rsidRDefault="00000000" w:rsidRPr="00000000" w14:paraId="0000002A">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influence and power. </w:t>
      </w:r>
      <w:r w:rsidDel="00000000" w:rsidR="00000000" w:rsidRPr="00000000">
        <w:rPr>
          <w:rFonts w:ascii="Times New Roman" w:cs="Times New Roman" w:eastAsia="Times New Roman" w:hAnsi="Times New Roman"/>
          <w:i w:val="1"/>
          <w:sz w:val="24"/>
          <w:szCs w:val="24"/>
          <w:highlight w:val="white"/>
          <w:rtl w:val="0"/>
        </w:rPr>
        <w:t xml:space="preserve">Inside Higher Ed</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2B">
      <w:pPr>
        <w:spacing w:line="480" w:lineRule="auto"/>
        <w:ind w:left="0" w:firstLine="0"/>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Griffin, K. A., &amp; Reddick, R. J. (2011). </w:t>
      </w:r>
      <w:r w:rsidDel="00000000" w:rsidR="00000000" w:rsidRPr="00000000">
        <w:rPr>
          <w:rFonts w:ascii="Times New Roman" w:cs="Times New Roman" w:eastAsia="Times New Roman" w:hAnsi="Times New Roman"/>
          <w:i w:val="1"/>
          <w:sz w:val="24"/>
          <w:szCs w:val="24"/>
          <w:highlight w:val="white"/>
          <w:rtl w:val="0"/>
        </w:rPr>
        <w:t xml:space="preserve">Surveillance and Sacrifice: Gender Differences in</w:t>
      </w:r>
    </w:p>
    <w:p w:rsidR="00000000" w:rsidDel="00000000" w:rsidP="00000000" w:rsidRDefault="00000000" w:rsidRPr="00000000" w14:paraId="0000002C">
      <w:pPr>
        <w:spacing w:line="480" w:lineRule="auto"/>
        <w:ind w:left="0" w:firstLine="720"/>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the Mentoring Patterns of Black Professors at Predominantly White Research</w:t>
      </w:r>
    </w:p>
    <w:p w:rsidR="00000000" w:rsidDel="00000000" w:rsidP="00000000" w:rsidRDefault="00000000" w:rsidRPr="00000000" w14:paraId="0000002D">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Universities</w:t>
      </w:r>
      <w:r w:rsidDel="00000000" w:rsidR="00000000" w:rsidRPr="00000000">
        <w:rPr>
          <w:rFonts w:ascii="Times New Roman" w:cs="Times New Roman" w:eastAsia="Times New Roman" w:hAnsi="Times New Roman"/>
          <w:sz w:val="24"/>
          <w:szCs w:val="24"/>
          <w:highlight w:val="white"/>
          <w:rtl w:val="0"/>
        </w:rPr>
        <w:t xml:space="preserve">. American Educational Research.</w:t>
      </w:r>
    </w:p>
    <w:p w:rsidR="00000000" w:rsidDel="00000000" w:rsidP="00000000" w:rsidRDefault="00000000" w:rsidRPr="00000000" w14:paraId="0000002E">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Gurin, P., Dey, E.L., &amp; Hurtado, S., &amp; Gurin, G. (2002). Diversity and higher education: Theory </w:t>
      </w:r>
    </w:p>
    <w:p w:rsidR="00000000" w:rsidDel="00000000" w:rsidP="00000000" w:rsidRDefault="00000000" w:rsidRPr="00000000" w14:paraId="0000002F">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and impact on educational outcomes. </w:t>
      </w:r>
      <w:r w:rsidDel="00000000" w:rsidR="00000000" w:rsidRPr="00000000">
        <w:rPr>
          <w:rFonts w:ascii="Times New Roman" w:cs="Times New Roman" w:eastAsia="Times New Roman" w:hAnsi="Times New Roman"/>
          <w:i w:val="1"/>
          <w:sz w:val="24"/>
          <w:szCs w:val="24"/>
          <w:highlight w:val="white"/>
          <w:rtl w:val="0"/>
        </w:rPr>
        <w:t xml:space="preserve">Harvard Educational Review, 72(3)</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30">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Knox, L. (2023, July 17). Reading Between the Lines on Affirmative Action. </w:t>
      </w:r>
      <w:r w:rsidDel="00000000" w:rsidR="00000000" w:rsidRPr="00000000">
        <w:rPr>
          <w:rFonts w:ascii="Times New Roman" w:cs="Times New Roman" w:eastAsia="Times New Roman" w:hAnsi="Times New Roman"/>
          <w:i w:val="1"/>
          <w:sz w:val="24"/>
          <w:szCs w:val="24"/>
          <w:highlight w:val="white"/>
          <w:rtl w:val="0"/>
        </w:rPr>
        <w:t xml:space="preserve">Inside Higher Ed</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1">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https://www.insidehighered.com/news/admissions/traditional-age/2023/07/17/what-affir</w:t>
      </w:r>
    </w:p>
    <w:p w:rsidR="00000000" w:rsidDel="00000000" w:rsidP="00000000" w:rsidRDefault="00000000" w:rsidRPr="00000000" w14:paraId="0000003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mative-action-decision-means-beyond-admissions</w:t>
      </w:r>
      <w:r w:rsidDel="00000000" w:rsidR="00000000" w:rsidRPr="00000000">
        <w:rPr>
          <w:rtl w:val="0"/>
        </w:rPr>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Koo, S., Chiu, H. &amp; Busse, R. T. (2022). The Effects of a Holistic College Access Camp on </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First-Gen Students: A Small Group Program Evaluation Using the Reliable Change </w:t>
      </w:r>
    </w:p>
    <w:p w:rsidR="00000000" w:rsidDel="00000000" w:rsidP="00000000" w:rsidRDefault="00000000" w:rsidRPr="00000000" w14:paraId="0000003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Index, </w:t>
      </w:r>
      <w:r w:rsidDel="00000000" w:rsidR="00000000" w:rsidRPr="00000000">
        <w:rPr>
          <w:rFonts w:ascii="Times New Roman" w:cs="Times New Roman" w:eastAsia="Times New Roman" w:hAnsi="Times New Roman"/>
          <w:i w:val="1"/>
          <w:sz w:val="24"/>
          <w:szCs w:val="24"/>
          <w:rtl w:val="0"/>
        </w:rPr>
        <w:t xml:space="preserve">Journal of First-generation Student Success, 2(3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79-194. </w:t>
      </w:r>
    </w:p>
    <w:p w:rsidR="00000000" w:rsidDel="00000000" w:rsidP="00000000" w:rsidRDefault="00000000" w:rsidRPr="00000000" w14:paraId="0000003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https://doi.org/10.1080/26906015.2022.2086772</w:t>
      </w:r>
    </w:p>
    <w:p w:rsidR="00000000" w:rsidDel="00000000" w:rsidP="00000000" w:rsidRDefault="00000000" w:rsidRPr="00000000" w14:paraId="0000003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Museus, S.D., Griffin, K.A., &amp; Quaye, S.J. (2020). “Engaging Students of Color” In Quaye, </w:t>
      </w:r>
    </w:p>
    <w:p w:rsidR="00000000" w:rsidDel="00000000" w:rsidP="00000000" w:rsidRDefault="00000000" w:rsidRPr="00000000" w14:paraId="00000038">
      <w:pPr>
        <w:spacing w:line="480" w:lineRule="auto"/>
        <w:ind w:left="0"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M.N., Harper, S.R., &amp; Pendakur, S.L. (Eds.), </w:t>
      </w:r>
      <w:r w:rsidDel="00000000" w:rsidR="00000000" w:rsidRPr="00000000">
        <w:rPr>
          <w:rFonts w:ascii="Times New Roman" w:cs="Times New Roman" w:eastAsia="Times New Roman" w:hAnsi="Times New Roman"/>
          <w:i w:val="1"/>
          <w:sz w:val="24"/>
          <w:szCs w:val="24"/>
          <w:rtl w:val="0"/>
        </w:rPr>
        <w:t xml:space="preserve">Student Engagement in Higher Education: </w:t>
      </w:r>
    </w:p>
    <w:p w:rsidR="00000000" w:rsidDel="00000000" w:rsidP="00000000" w:rsidRDefault="00000000" w:rsidRPr="00000000" w14:paraId="00000039">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Theoretical Perspectives and Practical Approaches for Diverse Populations </w:t>
      </w:r>
      <w:r w:rsidDel="00000000" w:rsidR="00000000" w:rsidRPr="00000000">
        <w:rPr>
          <w:rFonts w:ascii="Times New Roman" w:cs="Times New Roman" w:eastAsia="Times New Roman" w:hAnsi="Times New Roman"/>
          <w:sz w:val="24"/>
          <w:szCs w:val="24"/>
          <w:rtl w:val="0"/>
        </w:rPr>
        <w:t xml:space="preserve">(3rd ed.) Routledge. </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Association for College Admission Counseling and the National Association of Student </w:t>
      </w:r>
    </w:p>
    <w:p w:rsidR="00000000" w:rsidDel="00000000" w:rsidP="00000000" w:rsidRDefault="00000000" w:rsidRPr="00000000" w14:paraId="0000003B">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Financial Aid Administrators. (2022). </w:t>
      </w:r>
      <w:r w:rsidDel="00000000" w:rsidR="00000000" w:rsidRPr="00000000">
        <w:rPr>
          <w:rFonts w:ascii="Times New Roman" w:cs="Times New Roman" w:eastAsia="Times New Roman" w:hAnsi="Times New Roman"/>
          <w:i w:val="1"/>
          <w:sz w:val="24"/>
          <w:szCs w:val="24"/>
          <w:rtl w:val="0"/>
        </w:rPr>
        <w:t xml:space="preserve">Toward a More Equitable Future for </w:t>
      </w:r>
    </w:p>
    <w:p w:rsidR="00000000" w:rsidDel="00000000" w:rsidP="00000000" w:rsidRDefault="00000000" w:rsidRPr="00000000" w14:paraId="0000003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Postsecondary Access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D">
      <w:pPr>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Patton, L.D., Renn, K.A., Guido, F.M., &amp; Quaye, S.J. (2016). </w:t>
      </w:r>
      <w:r w:rsidDel="00000000" w:rsidR="00000000" w:rsidRPr="00000000">
        <w:rPr>
          <w:rFonts w:ascii="Times New Roman" w:cs="Times New Roman" w:eastAsia="Times New Roman" w:hAnsi="Times New Roman"/>
          <w:i w:val="1"/>
          <w:sz w:val="24"/>
          <w:szCs w:val="24"/>
          <w:rtl w:val="0"/>
        </w:rPr>
        <w:t xml:space="preserve">Student Development in College: </w:t>
      </w:r>
    </w:p>
    <w:p w:rsidR="00000000" w:rsidDel="00000000" w:rsidP="00000000" w:rsidRDefault="00000000" w:rsidRPr="00000000" w14:paraId="0000003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Theory, Research, and Practice</w:t>
      </w:r>
      <w:r w:rsidDel="00000000" w:rsidR="00000000" w:rsidRPr="00000000">
        <w:rPr>
          <w:rFonts w:ascii="Times New Roman" w:cs="Times New Roman" w:eastAsia="Times New Roman" w:hAnsi="Times New Roman"/>
          <w:sz w:val="24"/>
          <w:szCs w:val="24"/>
          <w:rtl w:val="0"/>
        </w:rPr>
        <w:t xml:space="preserve"> (3rd ed.) Jossey-Bass. </w:t>
      </w:r>
    </w:p>
    <w:p w:rsidR="00000000" w:rsidDel="00000000" w:rsidP="00000000" w:rsidRDefault="00000000" w:rsidRPr="00000000" w14:paraId="0000003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Tichavunda, A. A. (2021). </w:t>
      </w:r>
      <w:r w:rsidDel="00000000" w:rsidR="00000000" w:rsidRPr="00000000">
        <w:rPr>
          <w:rFonts w:ascii="Times New Roman" w:cs="Times New Roman" w:eastAsia="Times New Roman" w:hAnsi="Times New Roman"/>
          <w:sz w:val="24"/>
          <w:szCs w:val="24"/>
          <w:rtl w:val="0"/>
        </w:rPr>
        <w:t xml:space="preserve">Black Joy on White Campuses: Exploring Black Students'</w:t>
      </w:r>
    </w:p>
    <w:p w:rsidR="00000000" w:rsidDel="00000000" w:rsidP="00000000" w:rsidRDefault="00000000" w:rsidRPr="00000000" w14:paraId="00000040">
      <w:pPr>
        <w:spacing w:line="480" w:lineRule="auto"/>
        <w:ind w:left="0"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Recreation and Celebration at a Historically White Institution. </w:t>
      </w:r>
      <w:r w:rsidDel="00000000" w:rsidR="00000000" w:rsidRPr="00000000">
        <w:rPr>
          <w:rFonts w:ascii="Times New Roman" w:cs="Times New Roman" w:eastAsia="Times New Roman" w:hAnsi="Times New Roman"/>
          <w:i w:val="1"/>
          <w:sz w:val="24"/>
          <w:szCs w:val="24"/>
          <w:rtl w:val="0"/>
        </w:rPr>
        <w:t xml:space="preserve">The Review of Higher </w:t>
      </w:r>
    </w:p>
    <w:p w:rsidR="00000000" w:rsidDel="00000000" w:rsidP="00000000" w:rsidRDefault="00000000" w:rsidRPr="00000000" w14:paraId="0000004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Education, 44(3</w:t>
      </w:r>
      <w:r w:rsidDel="00000000" w:rsidR="00000000" w:rsidRPr="00000000">
        <w:rPr>
          <w:rFonts w:ascii="Times New Roman" w:cs="Times New Roman" w:eastAsia="Times New Roman" w:hAnsi="Times New Roman"/>
          <w:sz w:val="24"/>
          <w:szCs w:val="24"/>
          <w:rtl w:val="0"/>
        </w:rPr>
        <w:t xml:space="preserve">) pp. 297-324. </w:t>
      </w:r>
    </w:p>
    <w:p w:rsidR="00000000" w:rsidDel="00000000" w:rsidP="00000000" w:rsidRDefault="00000000" w:rsidRPr="00000000" w14:paraId="00000042">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Weerts, D. J. &amp; Conrad, C.F. (2004). The mixed legacy of federal involvement in higher </w:t>
      </w:r>
    </w:p>
    <w:p w:rsidR="00000000" w:rsidDel="00000000" w:rsidP="00000000" w:rsidRDefault="00000000" w:rsidRPr="00000000" w14:paraId="00000043">
      <w:pPr>
        <w:spacing w:line="480" w:lineRule="auto"/>
        <w:ind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education desegregation: an unfinished agenda. In St. John, E.P &amp; Parson, M. D. (Eds.), </w:t>
      </w:r>
    </w:p>
    <w:p w:rsidR="00000000" w:rsidDel="00000000" w:rsidP="00000000" w:rsidRDefault="00000000" w:rsidRPr="00000000" w14:paraId="00000044">
      <w:pPr>
        <w:spacing w:line="480" w:lineRule="auto"/>
        <w:ind w:firstLine="720"/>
        <w:rPr>
          <w:rFonts w:ascii="Times New Roman" w:cs="Times New Roman" w:eastAsia="Times New Roman" w:hAnsi="Times New Roman"/>
          <w:i w:val="1"/>
          <w:color w:val="0e101a"/>
          <w:sz w:val="24"/>
          <w:szCs w:val="24"/>
        </w:rPr>
      </w:pPr>
      <w:r w:rsidDel="00000000" w:rsidR="00000000" w:rsidRPr="00000000">
        <w:rPr>
          <w:rFonts w:ascii="Times New Roman" w:cs="Times New Roman" w:eastAsia="Times New Roman" w:hAnsi="Times New Roman"/>
          <w:i w:val="1"/>
          <w:color w:val="0e101a"/>
          <w:sz w:val="24"/>
          <w:szCs w:val="24"/>
          <w:rtl w:val="0"/>
        </w:rPr>
        <w:t xml:space="preserve">Public funding of higher education: changing contexts and new rationales </w:t>
      </w:r>
      <w:r w:rsidDel="00000000" w:rsidR="00000000" w:rsidRPr="00000000">
        <w:rPr>
          <w:rFonts w:ascii="Times New Roman" w:cs="Times New Roman" w:eastAsia="Times New Roman" w:hAnsi="Times New Roman"/>
          <w:color w:val="0e101a"/>
          <w:sz w:val="24"/>
          <w:szCs w:val="24"/>
          <w:rtl w:val="0"/>
        </w:rPr>
        <w:t xml:space="preserve">(pp. 417-426)</w:t>
      </w:r>
      <w:r w:rsidDel="00000000" w:rsidR="00000000" w:rsidRPr="00000000">
        <w:rPr>
          <w:rFonts w:ascii="Times New Roman" w:cs="Times New Roman" w:eastAsia="Times New Roman" w:hAnsi="Times New Roman"/>
          <w:i w:val="1"/>
          <w:color w:val="0e101a"/>
          <w:sz w:val="24"/>
          <w:szCs w:val="24"/>
          <w:rtl w:val="0"/>
        </w:rPr>
        <w:t xml:space="preserve">. </w:t>
      </w:r>
    </w:p>
    <w:p w:rsidR="00000000" w:rsidDel="00000000" w:rsidP="00000000" w:rsidRDefault="00000000" w:rsidRPr="00000000" w14:paraId="00000045">
      <w:pPr>
        <w:spacing w:line="480" w:lineRule="auto"/>
        <w:ind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Johns Hopkins University Press.</w:t>
      </w:r>
    </w:p>
    <w:p w:rsidR="00000000" w:rsidDel="00000000" w:rsidP="00000000" w:rsidRDefault="00000000" w:rsidRPr="00000000" w14:paraId="00000046">
      <w:pPr>
        <w:spacing w:line="480" w:lineRule="auto"/>
        <w:ind w:left="0" w:firstLine="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Winkle-Wagner, R., &amp; Locks, A. (2019). </w:t>
      </w:r>
      <w:r w:rsidDel="00000000" w:rsidR="00000000" w:rsidRPr="00000000">
        <w:rPr>
          <w:rFonts w:ascii="Times New Roman" w:cs="Times New Roman" w:eastAsia="Times New Roman" w:hAnsi="Times New Roman"/>
          <w:i w:val="1"/>
          <w:color w:val="0e101a"/>
          <w:sz w:val="24"/>
          <w:szCs w:val="24"/>
          <w:rtl w:val="0"/>
        </w:rPr>
        <w:t xml:space="preserve">Diversity and inclusion on campus</w:t>
      </w:r>
      <w:r w:rsidDel="00000000" w:rsidR="00000000" w:rsidRPr="00000000">
        <w:rPr>
          <w:rFonts w:ascii="Times New Roman" w:cs="Times New Roman" w:eastAsia="Times New Roman" w:hAnsi="Times New Roman"/>
          <w:color w:val="0e101a"/>
          <w:sz w:val="24"/>
          <w:szCs w:val="24"/>
          <w:rtl w:val="0"/>
        </w:rPr>
        <w:t xml:space="preserve"> </w:t>
      </w:r>
      <w:r w:rsidDel="00000000" w:rsidR="00000000" w:rsidRPr="00000000">
        <w:rPr>
          <w:rFonts w:ascii="Times New Roman" w:cs="Times New Roman" w:eastAsia="Times New Roman" w:hAnsi="Times New Roman"/>
          <w:color w:val="0e101a"/>
          <w:sz w:val="24"/>
          <w:szCs w:val="24"/>
          <w:rtl w:val="0"/>
        </w:rPr>
        <w:t xml:space="preserve">(2nd ed.). </w:t>
      </w:r>
    </w:p>
    <w:p w:rsidR="00000000" w:rsidDel="00000000" w:rsidP="00000000" w:rsidRDefault="00000000" w:rsidRPr="00000000" w14:paraId="00000047">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Routledge.</w:t>
      </w:r>
      <w:r w:rsidDel="00000000" w:rsidR="00000000" w:rsidRPr="00000000">
        <w:rPr>
          <w:rtl w:val="0"/>
        </w:rPr>
      </w:r>
    </w:p>
    <w:p w:rsidR="00000000" w:rsidDel="00000000" w:rsidP="00000000" w:rsidRDefault="00000000" w:rsidRPr="00000000" w14:paraId="00000048">
      <w:pPr>
        <w:spacing w:line="480" w:lineRule="auto"/>
        <w:ind w:left="0" w:firstLine="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Yosso, T.J. (2005). Whose culture has capital? A critical race theory discussion of community </w:t>
      </w:r>
    </w:p>
    <w:p w:rsidR="00000000" w:rsidDel="00000000" w:rsidP="00000000" w:rsidRDefault="00000000" w:rsidRPr="00000000" w14:paraId="00000049">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cultural wealth, </w:t>
      </w:r>
      <w:r w:rsidDel="00000000" w:rsidR="00000000" w:rsidRPr="00000000">
        <w:rPr>
          <w:rFonts w:ascii="Times New Roman" w:cs="Times New Roman" w:eastAsia="Times New Roman" w:hAnsi="Times New Roman"/>
          <w:i w:val="1"/>
          <w:color w:val="0e101a"/>
          <w:sz w:val="24"/>
          <w:szCs w:val="24"/>
          <w:rtl w:val="0"/>
        </w:rPr>
        <w:t xml:space="preserve">Race Ethnicity and Education</w:t>
      </w:r>
      <w:r w:rsidDel="00000000" w:rsidR="00000000" w:rsidRPr="00000000">
        <w:rPr>
          <w:rFonts w:ascii="Times New Roman" w:cs="Times New Roman" w:eastAsia="Times New Roman" w:hAnsi="Times New Roman"/>
          <w:color w:val="0e101a"/>
          <w:sz w:val="24"/>
          <w:szCs w:val="24"/>
          <w:rtl w:val="0"/>
        </w:rPr>
        <w:t xml:space="preserve">, </w:t>
      </w:r>
      <w:r w:rsidDel="00000000" w:rsidR="00000000" w:rsidRPr="00000000">
        <w:rPr>
          <w:rFonts w:ascii="Times New Roman" w:cs="Times New Roman" w:eastAsia="Times New Roman" w:hAnsi="Times New Roman"/>
          <w:i w:val="1"/>
          <w:color w:val="0e101a"/>
          <w:sz w:val="24"/>
          <w:szCs w:val="24"/>
          <w:rtl w:val="0"/>
        </w:rPr>
        <w:t xml:space="preserve">8(1),</w:t>
      </w:r>
      <w:r w:rsidDel="00000000" w:rsidR="00000000" w:rsidRPr="00000000">
        <w:rPr>
          <w:rFonts w:ascii="Times New Roman" w:cs="Times New Roman" w:eastAsia="Times New Roman" w:hAnsi="Times New Roman"/>
          <w:color w:val="0e101a"/>
          <w:sz w:val="24"/>
          <w:szCs w:val="24"/>
          <w:rtl w:val="0"/>
        </w:rPr>
        <w:t xml:space="preserve"> </w:t>
      </w:r>
      <w:r w:rsidDel="00000000" w:rsidR="00000000" w:rsidRPr="00000000">
        <w:rPr>
          <w:rFonts w:ascii="Times New Roman" w:cs="Times New Roman" w:eastAsia="Times New Roman" w:hAnsi="Times New Roman"/>
          <w:color w:val="0e101a"/>
          <w:sz w:val="24"/>
          <w:szCs w:val="24"/>
          <w:rtl w:val="0"/>
        </w:rPr>
        <w:t xml:space="preserve">69-91.</w:t>
      </w:r>
    </w:p>
    <w:p w:rsidR="00000000" w:rsidDel="00000000" w:rsidP="00000000" w:rsidRDefault="00000000" w:rsidRPr="00000000" w14:paraId="0000004A">
      <w:pPr>
        <w:spacing w:line="480" w:lineRule="auto"/>
        <w:ind w:left="0" w:firstLine="720"/>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sz w:val="24"/>
          <w:szCs w:val="24"/>
          <w:rtl w:val="0"/>
        </w:rPr>
        <w:t xml:space="preserve">https://doi.org/</w:t>
      </w:r>
      <w:r w:rsidDel="00000000" w:rsidR="00000000" w:rsidRPr="00000000">
        <w:rPr>
          <w:rFonts w:ascii="Times New Roman" w:cs="Times New Roman" w:eastAsia="Times New Roman" w:hAnsi="Times New Roman"/>
          <w:color w:val="0e101a"/>
          <w:sz w:val="24"/>
          <w:szCs w:val="24"/>
          <w:rtl w:val="0"/>
        </w:rPr>
        <w:t xml:space="preserve">10.1080/1361332052000341006</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B">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